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Name: _________________________</w:t>
        <w:tab/>
        <w:tab/>
        <w:tab/>
        <w:tab/>
        <w:tab/>
        <w:tab/>
        <w:t xml:space="preserve">Flame Test &amp; Spectroscopy</w:t>
      </w:r>
    </w:p>
    <w:p w:rsidR="00000000" w:rsidDel="00000000" w:rsidP="00000000" w:rsidRDefault="00000000" w:rsidRPr="00000000" w14:paraId="00000003">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sz w:val="24"/>
          <w:szCs w:val="24"/>
          <w:u w:val="single"/>
          <w:rtl w:val="0"/>
        </w:rPr>
        <w:t xml:space="preserve">Background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 Electrons are said to be in the ground state under stable conditions.  When electrons are given energy from sources such as heat or electricity they absorb that energy and temporarily jump to a higher energy level (excited state).  When they return to ground state they give off that energy in the form of electromagnetic radiation.  If the electromagnetic radiation falls between 400 and 700 nanometers (nm) in wavelength, it is given off in the form of visible light.  When common metal ions are heated they give off a distinct color of visible light (this is how fireworks get their color).  These ions emit a unique color of light because they consist of atoms that have a unique electron configuration.  Chemists can identify these elements with a flame test.  The unique color that is observed during a flame test is actually a mixture of several different wavelengths of visible light.  Chemists can use a spectroscope to identify these various wavelengths.  The spectroscope splits light to form an emission line spectrum (see figure 1).  </w:t>
      </w:r>
      <w:r w:rsidDel="00000000" w:rsidR="00000000" w:rsidRPr="00000000">
        <w:rPr>
          <w:rtl w:val="0"/>
        </w:rPr>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Figure 1</w:t>
      </w:r>
      <w:r w:rsidDel="00000000" w:rsidR="00000000" w:rsidRPr="00000000">
        <w:rPr>
          <w:rFonts w:ascii="Cambria" w:cs="Cambria" w:eastAsia="Cambria" w:hAnsi="Cambria"/>
          <w:b w:val="1"/>
          <w:sz w:val="24"/>
          <w:szCs w:val="24"/>
          <w:rtl w:val="0"/>
        </w:rPr>
        <w:t xml:space="preserve">: Electromagnetic Spectrum</w:t>
      </w:r>
    </w:p>
    <w:p w:rsidR="00000000" w:rsidDel="00000000" w:rsidP="00000000" w:rsidRDefault="00000000" w:rsidRPr="00000000" w14:paraId="00000006">
      <w:pPr>
        <w:spacing w:line="240" w:lineRule="auto"/>
        <w:jc w:val="center"/>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Cambria" w:cs="Cambria" w:eastAsia="Cambria" w:hAnsi="Cambria"/>
          <w:sz w:val="24"/>
          <w:szCs w:val="24"/>
        </w:rPr>
      </w:pPr>
      <w:r w:rsidDel="00000000" w:rsidR="00000000" w:rsidRPr="00000000">
        <w:rPr>
          <w:rFonts w:ascii="Cambria" w:cs="Cambria" w:eastAsia="Cambria" w:hAnsi="Cambria"/>
          <w:b w:val="1"/>
          <w:i w:val="1"/>
          <w:sz w:val="24"/>
          <w:szCs w:val="24"/>
        </w:rPr>
        <w:drawing>
          <wp:inline distB="114300" distT="114300" distL="114300" distR="114300">
            <wp:extent cx="4248437" cy="1746368"/>
            <wp:effectExtent b="0" l="0" r="0" t="0"/>
            <wp:docPr id="1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248437" cy="174636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anchor allowOverlap="1" behindDoc="0" distB="0" distT="0" distL="114300" distR="114300" hidden="0" layoutInCell="1" locked="0" relativeHeight="0" simplePos="0">
            <wp:simplePos x="0" y="0"/>
            <wp:positionH relativeFrom="margin">
              <wp:align>right</wp:align>
            </wp:positionH>
            <wp:positionV relativeFrom="margin">
              <wp:posOffset>6404610</wp:posOffset>
            </wp:positionV>
            <wp:extent cx="1551305" cy="1226185"/>
            <wp:effectExtent b="0" l="0" r="0" t="0"/>
            <wp:wrapSquare wrapText="bothSides" distB="0" distT="0" distL="114300" distR="114300"/>
            <wp:docPr id="2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51305" cy="1226185"/>
                    </a:xfrm>
                    <a:prstGeom prst="rect"/>
                    <a:ln/>
                  </pic:spPr>
                </pic:pic>
              </a:graphicData>
            </a:graphic>
          </wp:anchor>
        </w:drawing>
      </w:r>
      <w:r w:rsidDel="00000000" w:rsidR="00000000" w:rsidRPr="00000000">
        <w:rPr>
          <w:rFonts w:ascii="Cambria" w:cs="Cambria" w:eastAsia="Cambria" w:hAnsi="Cambria"/>
          <w:b w:val="1"/>
          <w:sz w:val="24"/>
          <w:szCs w:val="24"/>
          <w:u w:val="single"/>
          <w:rtl w:val="0"/>
        </w:rPr>
        <w:t xml:space="preserve">Guiding Question:</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What metal ion causes fireworks to be red?</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A">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u w:val="single"/>
          <w:rtl w:val="0"/>
        </w:rPr>
        <w:t xml:space="preserve">Task</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Use a flame test to determine which ion salt produces the red color.  Using a spectroscope, match the bright line spectra from red fireworks to a substance in your material list.  Then make your final determination of what ion in the material list causes red fireworks.   </w:t>
      </w:r>
    </w:p>
    <w:p w:rsidR="00000000" w:rsidDel="00000000" w:rsidP="00000000" w:rsidRDefault="00000000" w:rsidRPr="00000000" w14:paraId="0000000C">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Procedure</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E">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Watch the </w:t>
      </w:r>
      <w:hyperlink r:id="rId10">
        <w:r w:rsidDel="00000000" w:rsidR="00000000" w:rsidRPr="00000000">
          <w:rPr>
            <w:rFonts w:ascii="Cambria" w:cs="Cambria" w:eastAsia="Cambria" w:hAnsi="Cambria"/>
            <w:color w:val="1155cc"/>
            <w:sz w:val="24"/>
            <w:szCs w:val="24"/>
            <w:u w:val="single"/>
            <w:rtl w:val="0"/>
          </w:rPr>
          <w:t xml:space="preserve">video</w:t>
        </w:r>
      </w:hyperlink>
      <w:r w:rsidDel="00000000" w:rsidR="00000000" w:rsidRPr="00000000">
        <w:rPr>
          <w:rFonts w:ascii="Cambria" w:cs="Cambria" w:eastAsia="Cambria" w:hAnsi="Cambria"/>
          <w:sz w:val="24"/>
          <w:szCs w:val="24"/>
          <w:rtl w:val="0"/>
        </w:rPr>
        <w:t xml:space="preserve"> to collect your flame test data. Write down the flame color for each metal ion in Table 1.  </w:t>
      </w:r>
    </w:p>
    <w:p w:rsidR="00000000" w:rsidDel="00000000" w:rsidP="00000000" w:rsidRDefault="00000000" w:rsidRPr="00000000" w14:paraId="0000000F">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Click </w:t>
      </w:r>
      <w:hyperlink r:id="rId11">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 to view the bright line emission spectra for the metal ions listed in Table 2.  Draw a line for each wavelength of light shown in the emission spectra  (see example below)</w:t>
      </w:r>
    </w:p>
    <w:p w:rsidR="00000000" w:rsidDel="00000000" w:rsidP="00000000" w:rsidRDefault="00000000" w:rsidRPr="00000000" w14:paraId="00000010">
      <w:pPr>
        <w:spacing w:line="240" w:lineRule="auto"/>
        <w:ind w:left="720" w:firstLine="0"/>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1353820</wp:posOffset>
            </wp:positionH>
            <wp:positionV relativeFrom="paragraph">
              <wp:posOffset>141605</wp:posOffset>
            </wp:positionV>
            <wp:extent cx="3639820" cy="732790"/>
            <wp:effectExtent b="0" l="0" r="0" t="0"/>
            <wp:wrapSquare wrapText="bothSides" distB="114300" distT="114300" distL="114300" distR="114300"/>
            <wp:docPr id="2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639820" cy="732790"/>
                    </a:xfrm>
                    <a:prstGeom prst="rect"/>
                    <a:ln/>
                  </pic:spPr>
                </pic:pic>
              </a:graphicData>
            </a:graphic>
          </wp:anchor>
        </w:drawing>
      </w:r>
    </w:p>
    <w:p w:rsidR="00000000" w:rsidDel="00000000" w:rsidP="00000000" w:rsidRDefault="00000000" w:rsidRPr="00000000" w14:paraId="00000011">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numPr>
          <w:ilvl w:val="0"/>
          <w:numId w:val="1"/>
        </w:numPr>
        <w:shd w:fill="ffffff"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Click </w:t>
      </w:r>
      <w:hyperlink r:id="rId13">
        <w:r w:rsidDel="00000000" w:rsidR="00000000" w:rsidRPr="00000000">
          <w:rPr>
            <w:rFonts w:ascii="Cambria" w:cs="Cambria" w:eastAsia="Cambria" w:hAnsi="Cambria"/>
            <w:color w:val="0000ff"/>
            <w:sz w:val="24"/>
            <w:szCs w:val="24"/>
            <w:u w:val="single"/>
            <w:rtl w:val="0"/>
          </w:rPr>
          <w:t xml:space="preserve">here</w:t>
        </w:r>
      </w:hyperlink>
      <w:r w:rsidDel="00000000" w:rsidR="00000000" w:rsidRPr="00000000">
        <w:rPr>
          <w:rFonts w:ascii="Cambria" w:cs="Cambria" w:eastAsia="Cambria" w:hAnsi="Cambria"/>
          <w:sz w:val="24"/>
          <w:szCs w:val="24"/>
          <w:rtl w:val="0"/>
        </w:rPr>
        <w:t xml:space="preserve"> to view the bright line emission spectra for the red firework.  Record data in Table 2.</w:t>
      </w:r>
    </w:p>
    <w:p w:rsidR="00000000" w:rsidDel="00000000" w:rsidP="00000000" w:rsidRDefault="00000000" w:rsidRPr="00000000" w14:paraId="00000017">
      <w:pPr>
        <w:numPr>
          <w:ilvl w:val="0"/>
          <w:numId w:val="1"/>
        </w:numPr>
        <w:shd w:fill="ffffff"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Based on your results from the flame test and the bright line spectra for the firework, determine which metal ion is present in the red firework.</w:t>
      </w:r>
    </w:p>
    <w:p w:rsidR="00000000" w:rsidDel="00000000" w:rsidP="00000000" w:rsidRDefault="00000000" w:rsidRPr="00000000" w14:paraId="00000018">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Table 1</w:t>
      </w:r>
      <w:r w:rsidDel="00000000" w:rsidR="00000000" w:rsidRPr="00000000">
        <w:rPr>
          <w:rFonts w:ascii="Cambria" w:cs="Cambria" w:eastAsia="Cambria" w:hAnsi="Cambria"/>
          <w:b w:val="1"/>
          <w:sz w:val="24"/>
          <w:szCs w:val="24"/>
          <w:rtl w:val="0"/>
        </w:rPr>
        <w:t xml:space="preserve">: Flame Test</w:t>
      </w:r>
    </w:p>
    <w:tbl>
      <w:tblPr>
        <w:tblStyle w:val="Table1"/>
        <w:tblW w:w="83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5"/>
        <w:gridCol w:w="4650"/>
        <w:tblGridChange w:id="0">
          <w:tblGrid>
            <w:gridCol w:w="3705"/>
            <w:gridCol w:w="4650"/>
          </w:tblGrid>
        </w:tblGridChange>
      </w:tblGrid>
      <w:tr>
        <w:trPr>
          <w:cantSplit w:val="0"/>
          <w:trHeight w:val="420" w:hRule="atLeast"/>
          <w:tblHeader w:val="0"/>
        </w:trPr>
        <w:tc>
          <w:tcPr>
            <w:vAlign w:val="center"/>
          </w:tcPr>
          <w:p w:rsidR="00000000" w:rsidDel="00000000" w:rsidP="00000000" w:rsidRDefault="00000000" w:rsidRPr="00000000" w14:paraId="0000001A">
            <w:pPr>
              <w:spacing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Metal Ion (Cations)</w:t>
            </w:r>
            <w:r w:rsidDel="00000000" w:rsidR="00000000" w:rsidRPr="00000000">
              <w:rPr>
                <w:rtl w:val="0"/>
              </w:rPr>
            </w:r>
          </w:p>
        </w:tc>
        <w:tc>
          <w:tcPr>
            <w:vAlign w:val="center"/>
          </w:tcPr>
          <w:p w:rsidR="00000000" w:rsidDel="00000000" w:rsidP="00000000" w:rsidRDefault="00000000" w:rsidRPr="00000000" w14:paraId="0000001B">
            <w:pPr>
              <w:spacing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Flame Color</w:t>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1C">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Calcium (Ca</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w:t>
            </w:r>
          </w:p>
        </w:tc>
        <w:tc>
          <w:tcPr>
            <w:vAlign w:val="center"/>
          </w:tcPr>
          <w:p w:rsidR="00000000" w:rsidDel="00000000" w:rsidP="00000000" w:rsidRDefault="00000000" w:rsidRPr="00000000" w14:paraId="0000001D">
            <w:pPr>
              <w:spacing w:line="240" w:lineRule="auto"/>
              <w:rPr>
                <w:rFonts w:ascii="Cambria" w:cs="Cambria" w:eastAsia="Cambria" w:hAnsi="Cambria"/>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1E">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Copper (Cu</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w:t>
            </w:r>
          </w:p>
        </w:tc>
        <w:tc>
          <w:tcPr>
            <w:vAlign w:val="center"/>
          </w:tcPr>
          <w:p w:rsidR="00000000" w:rsidDel="00000000" w:rsidP="00000000" w:rsidRDefault="00000000" w:rsidRPr="00000000" w14:paraId="0000001F">
            <w:pPr>
              <w:spacing w:line="240" w:lineRule="auto"/>
              <w:rPr>
                <w:rFonts w:ascii="Cambria" w:cs="Cambria" w:eastAsia="Cambria" w:hAnsi="Cambria"/>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20">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Lithium (Li</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w:t>
            </w:r>
          </w:p>
        </w:tc>
        <w:tc>
          <w:tcPr>
            <w:vAlign w:val="center"/>
          </w:tcPr>
          <w:p w:rsidR="00000000" w:rsidDel="00000000" w:rsidP="00000000" w:rsidRDefault="00000000" w:rsidRPr="00000000" w14:paraId="00000021">
            <w:pPr>
              <w:spacing w:line="240" w:lineRule="auto"/>
              <w:rPr>
                <w:rFonts w:ascii="Cambria" w:cs="Cambria" w:eastAsia="Cambria" w:hAnsi="Cambria"/>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22">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Potassium (K</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w:t>
            </w:r>
          </w:p>
        </w:tc>
        <w:tc>
          <w:tcPr>
            <w:vAlign w:val="center"/>
          </w:tcPr>
          <w:p w:rsidR="00000000" w:rsidDel="00000000" w:rsidP="00000000" w:rsidRDefault="00000000" w:rsidRPr="00000000" w14:paraId="00000023">
            <w:pPr>
              <w:spacing w:line="240" w:lineRule="auto"/>
              <w:rPr>
                <w:rFonts w:ascii="Cambria" w:cs="Cambria" w:eastAsia="Cambria" w:hAnsi="Cambria"/>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24">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Sodium (Na</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w:t>
            </w:r>
          </w:p>
        </w:tc>
        <w:tc>
          <w:tcPr>
            <w:vAlign w:val="center"/>
          </w:tcPr>
          <w:p w:rsidR="00000000" w:rsidDel="00000000" w:rsidP="00000000" w:rsidRDefault="00000000" w:rsidRPr="00000000" w14:paraId="00000025">
            <w:pPr>
              <w:spacing w:line="240" w:lineRule="auto"/>
              <w:rPr>
                <w:rFonts w:ascii="Cambria" w:cs="Cambria" w:eastAsia="Cambria" w:hAnsi="Cambria"/>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26">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Strontium (Sr</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w:t>
            </w:r>
          </w:p>
        </w:tc>
        <w:tc>
          <w:tcPr>
            <w:vAlign w:val="center"/>
          </w:tcPr>
          <w:p w:rsidR="00000000" w:rsidDel="00000000" w:rsidP="00000000" w:rsidRDefault="00000000" w:rsidRPr="00000000" w14:paraId="00000027">
            <w:pPr>
              <w:spacing w:line="240" w:lineRule="auto"/>
              <w:rPr>
                <w:rFonts w:ascii="Cambria" w:cs="Cambria" w:eastAsia="Cambria" w:hAnsi="Cambria"/>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28">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Unknown (firework)</w:t>
            </w:r>
          </w:p>
          <w:p w:rsidR="00000000" w:rsidDel="00000000" w:rsidP="00000000" w:rsidRDefault="00000000" w:rsidRPr="00000000" w14:paraId="00000029">
            <w:pPr>
              <w:spacing w:line="240" w:lineRule="auto"/>
              <w:ind w:left="720" w:firstLine="0"/>
              <w:jc w:val="center"/>
              <w:rPr>
                <w:rFonts w:ascii="Cambria" w:cs="Cambria" w:eastAsia="Cambria" w:hAnsi="Cambria"/>
                <w:sz w:val="24"/>
                <w:szCs w:val="24"/>
              </w:rPr>
            </w:pPr>
            <w:r w:rsidDel="00000000" w:rsidR="00000000" w:rsidRPr="00000000">
              <w:rPr>
                <w:rtl w:val="0"/>
              </w:rPr>
            </w:r>
          </w:p>
        </w:tc>
        <w:tc>
          <w:tcPr>
            <w:vAlign w:val="center"/>
          </w:tcPr>
          <w:p w:rsidR="00000000" w:rsidDel="00000000" w:rsidP="00000000" w:rsidRDefault="00000000" w:rsidRPr="00000000" w14:paraId="0000002A">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Red</w:t>
            </w:r>
          </w:p>
        </w:tc>
      </w:tr>
    </w:tbl>
    <w:p w:rsidR="00000000" w:rsidDel="00000000" w:rsidP="00000000" w:rsidRDefault="00000000" w:rsidRPr="00000000" w14:paraId="0000002B">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D">
      <w:pPr>
        <w:spacing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Table 2</w:t>
      </w:r>
      <w:r w:rsidDel="00000000" w:rsidR="00000000" w:rsidRPr="00000000">
        <w:rPr>
          <w:rFonts w:ascii="Cambria" w:cs="Cambria" w:eastAsia="Cambria" w:hAnsi="Cambria"/>
          <w:b w:val="1"/>
          <w:sz w:val="24"/>
          <w:szCs w:val="24"/>
          <w:rtl w:val="0"/>
        </w:rPr>
        <w:t xml:space="preserve">: Bright Line Spectra</w:t>
      </w:r>
      <w:r w:rsidDel="00000000" w:rsidR="00000000" w:rsidRPr="00000000">
        <w:rPr>
          <w:rtl w:val="0"/>
        </w:rPr>
      </w:r>
    </w:p>
    <w:tbl>
      <w:tblPr>
        <w:tblStyle w:val="Table2"/>
        <w:tblW w:w="83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435"/>
        <w:tblGridChange w:id="0">
          <w:tblGrid>
            <w:gridCol w:w="1950"/>
            <w:gridCol w:w="6435"/>
          </w:tblGrid>
        </w:tblGridChange>
      </w:tblGrid>
      <w:tr>
        <w:trPr>
          <w:cantSplit w:val="0"/>
          <w:trHeight w:val="420" w:hRule="atLeast"/>
          <w:tblHeader w:val="0"/>
        </w:trPr>
        <w:tc>
          <w:tcPr>
            <w:vAlign w:val="center"/>
          </w:tcPr>
          <w:p w:rsidR="00000000" w:rsidDel="00000000" w:rsidP="00000000" w:rsidRDefault="00000000" w:rsidRPr="00000000" w14:paraId="0000002E">
            <w:pPr>
              <w:spacing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Metal Ion (Cations)</w:t>
            </w:r>
            <w:r w:rsidDel="00000000" w:rsidR="00000000" w:rsidRPr="00000000">
              <w:rPr>
                <w:rtl w:val="0"/>
              </w:rPr>
            </w:r>
          </w:p>
        </w:tc>
        <w:tc>
          <w:tcPr>
            <w:vAlign w:val="center"/>
          </w:tcPr>
          <w:p w:rsidR="00000000" w:rsidDel="00000000" w:rsidP="00000000" w:rsidRDefault="00000000" w:rsidRPr="00000000" w14:paraId="0000002F">
            <w:pPr>
              <w:spacing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Line Spectra</w:t>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30">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Calcium (Ca</w:t>
            </w:r>
            <w:r w:rsidDel="00000000" w:rsidR="00000000" w:rsidRPr="00000000">
              <w:rPr>
                <w:rFonts w:ascii="Cambria" w:cs="Cambria" w:eastAsia="Cambria" w:hAnsi="Cambria"/>
                <w:b w:val="1"/>
                <w:sz w:val="24"/>
                <w:szCs w:val="24"/>
                <w:vertAlign w:val="superscript"/>
                <w:rtl w:val="0"/>
              </w:rPr>
              <w:t xml:space="preserve">+</w:t>
            </w:r>
            <w:r w:rsidDel="00000000" w:rsidR="00000000" w:rsidRPr="00000000">
              <w:rPr>
                <w:rFonts w:ascii="Cambria" w:cs="Cambria" w:eastAsia="Cambria" w:hAnsi="Cambria"/>
                <w:b w:val="1"/>
                <w:sz w:val="24"/>
                <w:szCs w:val="24"/>
                <w:rtl w:val="0"/>
              </w:rPr>
              <w:t xml:space="preserve">) </w:t>
            </w:r>
          </w:p>
        </w:tc>
        <w:tc>
          <w:tcPr>
            <w:vAlign w:val="center"/>
          </w:tcPr>
          <w:p w:rsidR="00000000" w:rsidDel="00000000" w:rsidP="00000000" w:rsidRDefault="00000000" w:rsidRPr="00000000" w14:paraId="0000003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3790950" cy="753870"/>
                  <wp:effectExtent b="0" l="0" r="0" t="0"/>
                  <wp:docPr id="14"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790950" cy="753870"/>
                          </a:xfrm>
                          <a:prstGeom prst="rect"/>
                          <a:ln/>
                        </pic:spPr>
                      </pic:pic>
                    </a:graphicData>
                  </a:graphic>
                </wp:inline>
              </w:drawing>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32">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Copper (Cu</w:t>
            </w:r>
            <w:r w:rsidDel="00000000" w:rsidR="00000000" w:rsidRPr="00000000">
              <w:rPr>
                <w:rFonts w:ascii="Cambria" w:cs="Cambria" w:eastAsia="Cambria" w:hAnsi="Cambria"/>
                <w:b w:val="1"/>
                <w:sz w:val="24"/>
                <w:szCs w:val="24"/>
                <w:vertAlign w:val="superscript"/>
                <w:rtl w:val="0"/>
              </w:rPr>
              <w:t xml:space="preserve">+</w:t>
            </w:r>
            <w:r w:rsidDel="00000000" w:rsidR="00000000" w:rsidRPr="00000000">
              <w:rPr>
                <w:rFonts w:ascii="Cambria" w:cs="Cambria" w:eastAsia="Cambria" w:hAnsi="Cambria"/>
                <w:b w:val="1"/>
                <w:sz w:val="24"/>
                <w:szCs w:val="24"/>
                <w:rtl w:val="0"/>
              </w:rPr>
              <w:t xml:space="preserve">)</w:t>
            </w:r>
          </w:p>
        </w:tc>
        <w:tc>
          <w:tcPr>
            <w:vAlign w:val="center"/>
          </w:tcPr>
          <w:p w:rsidR="00000000" w:rsidDel="00000000" w:rsidP="00000000" w:rsidRDefault="00000000" w:rsidRPr="00000000" w14:paraId="0000003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3790950" cy="753870"/>
                  <wp:effectExtent b="0" l="0" r="0" t="0"/>
                  <wp:docPr id="16"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790950" cy="753870"/>
                          </a:xfrm>
                          <a:prstGeom prst="rect"/>
                          <a:ln/>
                        </pic:spPr>
                      </pic:pic>
                    </a:graphicData>
                  </a:graphic>
                </wp:inline>
              </w:drawing>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34">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Lithium (Li</w:t>
            </w:r>
            <w:r w:rsidDel="00000000" w:rsidR="00000000" w:rsidRPr="00000000">
              <w:rPr>
                <w:rFonts w:ascii="Cambria" w:cs="Cambria" w:eastAsia="Cambria" w:hAnsi="Cambria"/>
                <w:b w:val="1"/>
                <w:sz w:val="24"/>
                <w:szCs w:val="24"/>
                <w:vertAlign w:val="superscript"/>
                <w:rtl w:val="0"/>
              </w:rPr>
              <w:t xml:space="preserve">+</w:t>
            </w:r>
            <w:r w:rsidDel="00000000" w:rsidR="00000000" w:rsidRPr="00000000">
              <w:rPr>
                <w:rFonts w:ascii="Cambria" w:cs="Cambria" w:eastAsia="Cambria" w:hAnsi="Cambria"/>
                <w:b w:val="1"/>
                <w:sz w:val="24"/>
                <w:szCs w:val="24"/>
                <w:rtl w:val="0"/>
              </w:rPr>
              <w:t xml:space="preserve">)</w:t>
            </w:r>
          </w:p>
        </w:tc>
        <w:tc>
          <w:tcPr>
            <w:vAlign w:val="center"/>
          </w:tcPr>
          <w:p w:rsidR="00000000" w:rsidDel="00000000" w:rsidP="00000000" w:rsidRDefault="00000000" w:rsidRPr="00000000" w14:paraId="0000003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3790950" cy="753870"/>
                  <wp:effectExtent b="0" l="0" r="0" t="0"/>
                  <wp:docPr id="1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790950" cy="753870"/>
                          </a:xfrm>
                          <a:prstGeom prst="rect"/>
                          <a:ln/>
                        </pic:spPr>
                      </pic:pic>
                    </a:graphicData>
                  </a:graphic>
                </wp:inline>
              </w:drawing>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36">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Potassium (K</w:t>
            </w:r>
            <w:r w:rsidDel="00000000" w:rsidR="00000000" w:rsidRPr="00000000">
              <w:rPr>
                <w:rFonts w:ascii="Cambria" w:cs="Cambria" w:eastAsia="Cambria" w:hAnsi="Cambria"/>
                <w:b w:val="1"/>
                <w:sz w:val="24"/>
                <w:szCs w:val="24"/>
                <w:vertAlign w:val="superscript"/>
                <w:rtl w:val="0"/>
              </w:rPr>
              <w:t xml:space="preserve">+</w:t>
            </w:r>
            <w:r w:rsidDel="00000000" w:rsidR="00000000" w:rsidRPr="00000000">
              <w:rPr>
                <w:rFonts w:ascii="Cambria" w:cs="Cambria" w:eastAsia="Cambria" w:hAnsi="Cambria"/>
                <w:b w:val="1"/>
                <w:sz w:val="24"/>
                <w:szCs w:val="24"/>
                <w:rtl w:val="0"/>
              </w:rPr>
              <w:t xml:space="preserve">)</w:t>
            </w:r>
          </w:p>
        </w:tc>
        <w:tc>
          <w:tcPr>
            <w:vAlign w:val="center"/>
          </w:tcPr>
          <w:p w:rsidR="00000000" w:rsidDel="00000000" w:rsidP="00000000" w:rsidRDefault="00000000" w:rsidRPr="00000000" w14:paraId="0000003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3790950" cy="753870"/>
                  <wp:effectExtent b="0" l="0" r="0" t="0"/>
                  <wp:docPr id="18"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790950" cy="753870"/>
                          </a:xfrm>
                          <a:prstGeom prst="rect"/>
                          <a:ln/>
                        </pic:spPr>
                      </pic:pic>
                    </a:graphicData>
                  </a:graphic>
                </wp:inline>
              </w:drawing>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38">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Sodium (Na</w:t>
            </w:r>
            <w:r w:rsidDel="00000000" w:rsidR="00000000" w:rsidRPr="00000000">
              <w:rPr>
                <w:rFonts w:ascii="Cambria" w:cs="Cambria" w:eastAsia="Cambria" w:hAnsi="Cambria"/>
                <w:b w:val="1"/>
                <w:sz w:val="24"/>
                <w:szCs w:val="24"/>
                <w:vertAlign w:val="superscript"/>
                <w:rtl w:val="0"/>
              </w:rPr>
              <w:t xml:space="preserve">+</w:t>
            </w:r>
            <w:r w:rsidDel="00000000" w:rsidR="00000000" w:rsidRPr="00000000">
              <w:rPr>
                <w:rFonts w:ascii="Cambria" w:cs="Cambria" w:eastAsia="Cambria" w:hAnsi="Cambria"/>
                <w:b w:val="1"/>
                <w:sz w:val="24"/>
                <w:szCs w:val="24"/>
                <w:rtl w:val="0"/>
              </w:rPr>
              <w:t xml:space="preserve">)</w:t>
            </w:r>
          </w:p>
        </w:tc>
        <w:tc>
          <w:tcPr>
            <w:vAlign w:val="center"/>
          </w:tcPr>
          <w:p w:rsidR="00000000" w:rsidDel="00000000" w:rsidP="00000000" w:rsidRDefault="00000000" w:rsidRPr="00000000" w14:paraId="0000003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3790950" cy="753870"/>
                  <wp:effectExtent b="0" l="0" r="0" t="0"/>
                  <wp:docPr id="17"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790950" cy="753870"/>
                          </a:xfrm>
                          <a:prstGeom prst="rect"/>
                          <a:ln/>
                        </pic:spPr>
                      </pic:pic>
                    </a:graphicData>
                  </a:graphic>
                </wp:inline>
              </w:draw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3886200</wp:posOffset>
                  </wp:positionH>
                  <wp:positionV relativeFrom="paragraph">
                    <wp:posOffset>1133475</wp:posOffset>
                  </wp:positionV>
                  <wp:extent cx="814388" cy="814388"/>
                  <wp:effectExtent b="0" l="0" r="0" t="0"/>
                  <wp:wrapNone/>
                  <wp:docPr id="21"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814388" cy="814388"/>
                          </a:xfrm>
                          <a:prstGeom prst="rect"/>
                          <a:ln/>
                        </pic:spPr>
                      </pic:pic>
                    </a:graphicData>
                  </a:graphic>
                </wp:anchor>
              </w:drawing>
            </w:r>
          </w:p>
        </w:tc>
      </w:tr>
      <w:tr>
        <w:trPr>
          <w:cantSplit w:val="0"/>
          <w:trHeight w:val="500" w:hRule="atLeast"/>
          <w:tblHeader w:val="0"/>
        </w:trPr>
        <w:tc>
          <w:tcPr>
            <w:vAlign w:val="center"/>
          </w:tcPr>
          <w:p w:rsidR="00000000" w:rsidDel="00000000" w:rsidP="00000000" w:rsidRDefault="00000000" w:rsidRPr="00000000" w14:paraId="0000003A">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Strontium (Sr</w:t>
            </w:r>
            <w:r w:rsidDel="00000000" w:rsidR="00000000" w:rsidRPr="00000000">
              <w:rPr>
                <w:rFonts w:ascii="Cambria" w:cs="Cambria" w:eastAsia="Cambria" w:hAnsi="Cambria"/>
                <w:b w:val="1"/>
                <w:sz w:val="24"/>
                <w:szCs w:val="24"/>
                <w:vertAlign w:val="superscript"/>
                <w:rtl w:val="0"/>
              </w:rPr>
              <w:t xml:space="preserve">+</w:t>
            </w:r>
            <w:r w:rsidDel="00000000" w:rsidR="00000000" w:rsidRPr="00000000">
              <w:rPr>
                <w:rFonts w:ascii="Cambria" w:cs="Cambria" w:eastAsia="Cambria" w:hAnsi="Cambria"/>
                <w:b w:val="1"/>
                <w:sz w:val="24"/>
                <w:szCs w:val="24"/>
                <w:rtl w:val="0"/>
              </w:rPr>
              <w:t xml:space="preserve">)</w:t>
            </w:r>
          </w:p>
        </w:tc>
        <w:tc>
          <w:tcPr>
            <w:vAlign w:val="center"/>
          </w:tcPr>
          <w:p w:rsidR="00000000" w:rsidDel="00000000" w:rsidP="00000000" w:rsidRDefault="00000000" w:rsidRPr="00000000" w14:paraId="0000003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3790950" cy="753870"/>
                  <wp:effectExtent b="0" l="0" r="0" t="0"/>
                  <wp:docPr id="20"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790950" cy="753870"/>
                          </a:xfrm>
                          <a:prstGeom prst="rect"/>
                          <a:ln/>
                        </pic:spPr>
                      </pic:pic>
                    </a:graphicData>
                  </a:graphic>
                </wp:inline>
              </w:drawing>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3C">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Unknown (firework)</w:t>
            </w:r>
          </w:p>
          <w:p w:rsidR="00000000" w:rsidDel="00000000" w:rsidP="00000000" w:rsidRDefault="00000000" w:rsidRPr="00000000" w14:paraId="0000003D">
            <w:pPr>
              <w:spacing w:line="240" w:lineRule="auto"/>
              <w:ind w:left="720" w:firstLine="0"/>
              <w:rPr>
                <w:rFonts w:ascii="Cambria" w:cs="Cambria" w:eastAsia="Cambria" w:hAnsi="Cambria"/>
                <w:b w:val="1"/>
                <w:sz w:val="24"/>
                <w:szCs w:val="24"/>
              </w:rPr>
            </w:pPr>
            <w:r w:rsidDel="00000000" w:rsidR="00000000" w:rsidRPr="00000000">
              <w:rPr>
                <w:rtl w:val="0"/>
              </w:rPr>
            </w:r>
          </w:p>
        </w:tc>
        <w:tc>
          <w:tcPr>
            <w:vAlign w:val="center"/>
          </w:tcPr>
          <w:p w:rsidR="00000000" w:rsidDel="00000000" w:rsidP="00000000" w:rsidRDefault="00000000" w:rsidRPr="00000000" w14:paraId="0000003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3790950" cy="753870"/>
                  <wp:effectExtent b="0" l="0" r="0" t="0"/>
                  <wp:docPr id="19"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790950" cy="7538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F">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0">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1">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Questions</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42">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Answer the Guiding Question:  What metal ion causes fireworks to be red? Explain how you arrived at your answer.</w:t>
      </w:r>
    </w:p>
    <w:p w:rsidR="00000000" w:rsidDel="00000000" w:rsidP="00000000" w:rsidRDefault="00000000" w:rsidRPr="00000000" w14:paraId="0000004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Explain how the colors in the flame tests are produced (in terms of electrons and energy states).</w:t>
      </w:r>
    </w:p>
    <w:p w:rsidR="00000000" w:rsidDel="00000000" w:rsidP="00000000" w:rsidRDefault="00000000" w:rsidRPr="00000000" w14:paraId="0000004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Street lights are yellow/orange in color and not white.  Based on your flame test data, what gaseous element is present in street lights? </w:t>
      </w:r>
    </w:p>
    <w:p w:rsidR="00000000" w:rsidDel="00000000" w:rsidP="00000000" w:rsidRDefault="00000000" w:rsidRPr="00000000" w14:paraId="0000004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are spectral lines from the bright line spectrum referred to as "fingerprints" of the atoms?</w:t>
      </w:r>
    </w:p>
    <w:p w:rsidR="00000000" w:rsidDel="00000000" w:rsidP="00000000" w:rsidRDefault="00000000" w:rsidRPr="00000000" w14:paraId="0000004F">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spacing w:line="240" w:lineRule="auto"/>
        <w:ind w:left="720" w:firstLine="0"/>
        <w:rPr>
          <w:rFonts w:ascii="Cambria" w:cs="Cambria" w:eastAsia="Cambria" w:hAnsi="Cambri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52">
      <w:pPr>
        <w:numPr>
          <w:ilvl w:val="0"/>
          <w:numId w:val="2"/>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Draw models that represent the excited and ground states of Na</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and how energy changes to produce the light seen in the flame test.</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5762625</wp:posOffset>
            </wp:positionH>
            <wp:positionV relativeFrom="paragraph">
              <wp:posOffset>2371725</wp:posOffset>
            </wp:positionV>
            <wp:extent cx="814388" cy="814388"/>
            <wp:effectExtent b="0" l="0" r="0" t="0"/>
            <wp:wrapNone/>
            <wp:docPr id="12"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814388" cy="814388"/>
                    </a:xfrm>
                    <a:prstGeom prst="rect"/>
                    <a:ln/>
                  </pic:spPr>
                </pic:pic>
              </a:graphicData>
            </a:graphic>
          </wp:anchor>
        </w:drawing>
      </w:r>
    </w:p>
    <w:sectPr>
      <w:footerReference r:id="rId1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_x0000_i1025" style="width:53.85pt;height:49.45pt" type="#_x0000_t75">
          <v:imagedata r:id="rId1" o:title="KD"/>
        </v:shape>
      </w:pic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B01223"/>
    <w:pPr>
      <w:tabs>
        <w:tab w:val="center" w:pos="4680"/>
        <w:tab w:val="right" w:pos="9360"/>
      </w:tabs>
      <w:spacing w:line="240" w:lineRule="auto"/>
    </w:pPr>
  </w:style>
  <w:style w:type="character" w:styleId="HeaderChar" w:customStyle="1">
    <w:name w:val="Header Char"/>
    <w:basedOn w:val="DefaultParagraphFont"/>
    <w:link w:val="Header"/>
    <w:uiPriority w:val="99"/>
    <w:rsid w:val="00B01223"/>
  </w:style>
  <w:style w:type="paragraph" w:styleId="Footer">
    <w:name w:val="footer"/>
    <w:basedOn w:val="Normal"/>
    <w:link w:val="FooterChar"/>
    <w:uiPriority w:val="99"/>
    <w:unhideWhenUsed w:val="1"/>
    <w:rsid w:val="00B01223"/>
    <w:pPr>
      <w:tabs>
        <w:tab w:val="center" w:pos="4680"/>
        <w:tab w:val="right" w:pos="9360"/>
      </w:tabs>
      <w:spacing w:line="240" w:lineRule="auto"/>
    </w:pPr>
  </w:style>
  <w:style w:type="character" w:styleId="FooterChar" w:customStyle="1">
    <w:name w:val="Footer Char"/>
    <w:basedOn w:val="DefaultParagraphFont"/>
    <w:link w:val="Footer"/>
    <w:uiPriority w:val="99"/>
    <w:rsid w:val="00B01223"/>
  </w:style>
  <w:style w:type="character" w:styleId="Hyperlink">
    <w:name w:val="Hyperlink"/>
    <w:basedOn w:val="DefaultParagraphFont"/>
    <w:uiPriority w:val="99"/>
    <w:unhideWhenUsed w:val="1"/>
    <w:rsid w:val="00B01223"/>
    <w:rPr>
      <w:color w:val="0000ff" w:themeColor="hyperlink"/>
      <w:u w:val="single"/>
    </w:rPr>
  </w:style>
  <w:style w:type="character" w:styleId="FollowedHyperlink">
    <w:name w:val="FollowedHyperlink"/>
    <w:basedOn w:val="DefaultParagraphFont"/>
    <w:uiPriority w:val="99"/>
    <w:semiHidden w:val="1"/>
    <w:unhideWhenUsed w:val="1"/>
    <w:rsid w:val="00B01223"/>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rpalermo.com/bright-line-spectra.html" TargetMode="External"/><Relationship Id="rId10" Type="http://schemas.openxmlformats.org/officeDocument/2006/relationships/hyperlink" Target="http://www.mrpalermo.com/flame-test-data.html" TargetMode="External"/><Relationship Id="rId13" Type="http://schemas.openxmlformats.org/officeDocument/2006/relationships/hyperlink" Target="http://www.mrpalermo.com/firework-spectra.html" TargetMode="External"/><Relationship Id="rId12" Type="http://schemas.openxmlformats.org/officeDocument/2006/relationships/image" Target="media/image4.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image" Target="media/image6.png"/><Relationship Id="rId14" Type="http://schemas.openxmlformats.org/officeDocument/2006/relationships/image" Target="media/image5.png"/><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8R7/t4t3o3v0nkd3ko3t4C3ppg==">CgMxLjAyCGguZ2pkZ3hzOAByITFYYmlvSW1BS3JjV1NkSFJwenQ5UzVxRGh6NlRsMHVJUw==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2020-12-22T12:10:00Z</dcterms:created>
</cp:coreProperties>
</file>