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Acid/Base Unit 8A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Notes Unit 8A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4438650</wp:posOffset>
            </wp:positionH>
            <wp:positionV relativeFrom="paragraph">
              <wp:posOffset>0</wp:posOffset>
            </wp:positionV>
            <wp:extent cx="1862138" cy="1371600"/>
            <wp:effectExtent b="0" l="0" r="0" t="0"/>
            <wp:wrapSquare wrapText="bothSides" distB="114300" distT="114300" distL="114300" distR="114300"/>
            <wp:docPr descr="acid.jpg" id="2" name="image03.jpg"/>
            <a:graphic>
              <a:graphicData uri="http://schemas.openxmlformats.org/drawingml/2006/picture">
                <pic:pic>
                  <pic:nvPicPr>
                    <pic:cNvPr descr="acid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acids have 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 ions ion common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bases have the OH</w:t>
      </w:r>
      <w:r w:rsidDel="00000000" w:rsidR="00000000" w:rsidRPr="00000000">
        <w:rPr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  <w:t xml:space="preserve"> ion in common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salts have formulas: Non-metals and Non-metals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other compounds have formulas: organics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Organic acids have the general formula: COOH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terms of the amount particles, concentration means there is a high number of particles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terms of amount of particles, dilute means there is a low number of particles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terms of ions, weak means there are no ions but all compounds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Neutralization Reactions:if equal moles amount of acid and base are added together, the resulting solution is 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</w:t>
      </w: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 Acid+ Base → Salt + Water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reactions of acids with metals (only three metals do NOT react with acids: Cu, Au, Ag)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                                       Acid + More Reactive Metal → H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+ A Salt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Bronsted Lowry Theory: B.A.A.D Bases Accept Acids Donate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pH: the pH scale is a measure of the 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 or 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 concentration in a solution.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Acid=Low pH     Base=High pH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Acids have a pH range of 0-6 and hydronium ion concentrations between 1x10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 and 1x10</w:t>
      </w:r>
      <w:r w:rsidDel="00000000" w:rsidR="00000000" w:rsidRPr="00000000">
        <w:rPr>
          <w:vertAlign w:val="superscript"/>
          <w:rtl w:val="0"/>
        </w:rPr>
        <w:t xml:space="preserve">-6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Bases have a pH range of 8-14 and hydronium ion concentrations between 1x10</w:t>
      </w:r>
      <w:r w:rsidDel="00000000" w:rsidR="00000000" w:rsidRPr="00000000">
        <w:rPr>
          <w:vertAlign w:val="superscript"/>
          <w:rtl w:val="0"/>
        </w:rPr>
        <w:t xml:space="preserve">-8</w:t>
      </w:r>
      <w:r w:rsidDel="00000000" w:rsidR="00000000" w:rsidRPr="00000000">
        <w:rPr>
          <w:rtl w:val="0"/>
        </w:rPr>
        <w:t xml:space="preserve"> and 1x10</w:t>
      </w:r>
      <w:r w:rsidDel="00000000" w:rsidR="00000000" w:rsidRPr="00000000">
        <w:rPr>
          <w:vertAlign w:val="superscript"/>
          <w:rtl w:val="0"/>
        </w:rPr>
        <w:t xml:space="preserve">-14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o obtain the pH of an acid or base, find the power of the hydronium concentration. Therefore, pH can also be known as the “power of the hydronium concentration”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Increasing or decreasing the pH by 1 changes the [H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] by a factor of 10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(10 times, ten-fold)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Increasing or decreasing the pH by 2 changes the [H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] by a factor of 10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(100 times, ten-fold)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Amphoterism: Amphoteric substances can behave as both acids &amp; bases depending on what they are reacting with. If they are reacting with a base, they react like w weak acid. If the react with an acid they react like a weak base.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Calculations: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[H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]= 1 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-pH                        </w:t>
      </w:r>
      <w:r w:rsidDel="00000000" w:rsidR="00000000" w:rsidRPr="00000000">
        <w:rPr>
          <w:sz w:val="24"/>
          <w:szCs w:val="24"/>
          <w:rtl w:val="0"/>
        </w:rPr>
        <w:t xml:space="preserve">    Ka= 1 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-pKa</w:t>
      </w:r>
      <w:r w:rsidDel="00000000" w:rsidR="00000000" w:rsidRPr="00000000">
        <w:rPr>
          <w:sz w:val="24"/>
          <w:szCs w:val="24"/>
          <w:rtl w:val="0"/>
        </w:rPr>
        <w:t xml:space="preserve">                [OH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]= 1x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-pOH</w:t>
      </w:r>
      <w:r w:rsidDel="00000000" w:rsidR="00000000" w:rsidRPr="00000000">
        <w:rPr>
          <w:sz w:val="24"/>
          <w:szCs w:val="24"/>
          <w:rtl w:val="0"/>
        </w:rPr>
        <w:t xml:space="preserve">                  Kb= 1 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-pKb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pH= -log[H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]                   pKa= -log[Ka]                  pOH= -log[OH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]                   pKb= -log[Kb]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[H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][OH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]= 1 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-14  </w:t>
      </w:r>
      <w:r w:rsidDel="00000000" w:rsidR="00000000" w:rsidRPr="00000000">
        <w:rPr>
          <w:sz w:val="24"/>
          <w:szCs w:val="24"/>
          <w:rtl w:val="0"/>
        </w:rPr>
        <w:t xml:space="preserve">      [Ka][Kb]= 1 x 10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-14   </w:t>
      </w:r>
      <w:r w:rsidDel="00000000" w:rsidR="00000000" w:rsidRPr="00000000">
        <w:rPr>
          <w:sz w:val="24"/>
          <w:szCs w:val="24"/>
          <w:rtl w:val="0"/>
        </w:rPr>
        <w:t xml:space="preserve">         pH + pOH = 14                    pKb + Pka = 14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Practice Questions Unit 8A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Which formula represents a hydronium 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(1)H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+</w:t>
      </w:r>
      <w:r w:rsidDel="00000000" w:rsidR="00000000" w:rsidRPr="00000000">
        <w:rPr>
          <w:sz w:val="20"/>
          <w:szCs w:val="20"/>
          <w:rtl w:val="0"/>
        </w:rPr>
        <w:t xml:space="preserve"> (2)OH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 (3)NH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+ </w:t>
      </w:r>
      <w:r w:rsidDel="00000000" w:rsidR="00000000" w:rsidRPr="00000000">
        <w:rPr>
          <w:sz w:val="20"/>
          <w:szCs w:val="20"/>
          <w:rtl w:val="0"/>
        </w:rPr>
        <w:t xml:space="preserve">(4)HCO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2)   Which compound is an Arrhenius acid?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(1)H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SO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4 </w:t>
      </w:r>
      <w:r w:rsidDel="00000000" w:rsidR="00000000" w:rsidRPr="00000000">
        <w:rPr>
          <w:sz w:val="20"/>
          <w:szCs w:val="20"/>
          <w:rtl w:val="0"/>
        </w:rPr>
        <w:t xml:space="preserve">(2)NaOH (3)KCl (4)NH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3)   Which compound releases hydroxide ions in an aqueous solution?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(1)CH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COOH (2)HCl (3)CH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OH (4)KOH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4)   What is the relationship between pH value and hydrogen ion concentration?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5)Describes what happens to the concentration of hydrogen ions in a solution if the pH is changed from 7 to 5?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6)Suppose you dissolve benzoic acid in a .15M solution. What is…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concentration of benzoic acid?        K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for benzoic acid = 6.3x10^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-5</w:t>
      </w:r>
      <w:r w:rsidDel="00000000" w:rsidR="00000000" w:rsidRPr="00000000">
        <w:rPr>
          <w:sz w:val="20"/>
          <w:szCs w:val="20"/>
          <w:rtl w:val="0"/>
        </w:rPr>
        <w:t xml:space="preserve"> at 25͒C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concentration of hydronium ion?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concentration of benzoate anion?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pH of the solution?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7)A .12M solution of an unknown weak acid has a pH of 4.26 at 25͒C. What is the hydronium ion concentration in the solution and what is the value of its K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8)Calculate the concentration of OH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 in a .15M solution of NH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. Kb = 1.8x10^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9) Quinoline is a weak base with a pKa value of 4.90. What is the Kb?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10) For each of the following salts, predict whether an aqueous solution would be acidic, basic or neutral.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Sodium nitrate NaNO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Ammonium iodide NH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I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Sodium bicarbonate NaHCO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Ammonium cyanide NH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CN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Sodium hypochlorite NaOCl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Potassium acetate KCH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Acid/Base Unit 8B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Notes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Titrations are procedures used to determine the concentration (M) of an acid or a base. You combine together an acid and base knowing the volume of each and the concentration of only one of them.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solve either molarity/concentration or volume added, use the formula: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b w:val="1"/>
          <w:vertAlign w:val="subscript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vertAlign w:val="subscript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= M</w:t>
      </w:r>
      <w:r w:rsidDel="00000000" w:rsidR="00000000" w:rsidRPr="00000000">
        <w:rPr>
          <w:b w:val="1"/>
          <w:vertAlign w:val="subscript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vertAlign w:val="subscript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180" w:hanging="360"/>
        <w:contextualSpacing w:val="1"/>
        <w:rPr/>
      </w:pPr>
      <w:r w:rsidDel="00000000" w:rsidR="00000000" w:rsidRPr="00000000">
        <w:rPr>
          <w:vertAlign w:val="subscript"/>
          <w:rtl w:val="0"/>
        </w:rPr>
        <w:t xml:space="preserve">  </w:t>
      </w:r>
      <w:r w:rsidDel="00000000" w:rsidR="00000000" w:rsidRPr="00000000">
        <w:rPr>
          <w:rtl w:val="0"/>
        </w:rPr>
        <w:t xml:space="preserve">where M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= molarity of H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 , V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= volume of the acid , M</w:t>
      </w:r>
      <w:r w:rsidDel="00000000" w:rsidR="00000000" w:rsidRPr="00000000">
        <w:rPr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 = molarity of OH</w:t>
      </w:r>
      <w:r w:rsidDel="00000000" w:rsidR="00000000" w:rsidRPr="00000000">
        <w:rPr>
          <w:vertAlign w:val="superscript"/>
          <w:rtl w:val="0"/>
        </w:rPr>
        <w:t xml:space="preserve">-</w:t>
      </w:r>
      <w:r w:rsidDel="00000000" w:rsidR="00000000" w:rsidRPr="00000000">
        <w:rPr>
          <w:rtl w:val="0"/>
        </w:rPr>
        <w:t xml:space="preserve"> , V</w:t>
      </w:r>
      <w:r w:rsidDel="00000000" w:rsidR="00000000" w:rsidRPr="00000000">
        <w:rPr>
          <w:b w:val="1"/>
          <w:vertAlign w:val="sub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 = volume of base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18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The equivalence point, or EQPT, is the point at which chemically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equivalent quantities of acid and base have been mixed. In other words, the moles of acid are equivalent to the moles of base.</w:t>
      </w:r>
    </w:p>
    <w:p w:rsidR="00000000" w:rsidDel="00000000" w:rsidP="00000000" w:rsidRDefault="00000000" w:rsidRPr="00000000">
      <w:pPr>
        <w:ind w:right="-180"/>
        <w:contextualSpacing w:val="0"/>
        <w:rPr/>
      </w:pPr>
      <w:r w:rsidDel="00000000" w:rsidR="00000000" w:rsidRPr="00000000">
        <w:drawing>
          <wp:inline distB="114300" distT="114300" distL="114300" distR="114300">
            <wp:extent cx="1817270" cy="15192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7270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SA/SB:1- Find moles of acid &amp; base. 2- subtract small from big for excess. 3-divide moles of excess by total liters.</w:t>
            </w:r>
          </w:p>
        </w:tc>
      </w:tr>
    </w:tbl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-The buffer region on the diagram is located on the plateau before the curve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EQPT= 7 when strong acid &amp; strong base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EQPT= &gt;7 when when weak acid &amp; strong base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EQPT= &lt;7 when weak base &amp; strong acid</w:t>
      </w:r>
    </w:p>
    <w:p w:rsidR="00000000" w:rsidDel="00000000" w:rsidP="00000000" w:rsidRDefault="00000000" w:rsidRPr="00000000">
      <w:pPr>
        <w:spacing w:line="240" w:lineRule="auto"/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-18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pH calculations: pH=pKa+log(salt/acid)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Strong acid solution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determine [H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],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Strong base solution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determine [OH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], calculate pOH,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Weak acid solution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</w:t>
      </w:r>
      <w:r w:rsidDel="00000000" w:rsidR="00000000" w:rsidRPr="00000000">
        <w:rPr>
          <w:color w:val="222222"/>
          <w:highlight w:val="white"/>
          <w:rtl w:val="0"/>
        </w:rPr>
        <w:t xml:space="preserve"> determine [H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] using ICE box,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Weak base solution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determine [OH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] using ICE box, calculate pOH,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Salt of a weak acid 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→ write hydrolysis, calculate K</w:t>
      </w:r>
      <w:r w:rsidDel="00000000" w:rsidR="00000000" w:rsidRPr="00000000">
        <w:rPr>
          <w:color w:val="222222"/>
          <w:highlight w:val="white"/>
          <w:vertAlign w:val="subscript"/>
          <w:rtl w:val="0"/>
        </w:rPr>
        <w:t xml:space="preserve">b</w:t>
      </w:r>
      <w:r w:rsidDel="00000000" w:rsidR="00000000" w:rsidRPr="00000000">
        <w:rPr>
          <w:color w:val="222222"/>
          <w:highlight w:val="white"/>
          <w:rtl w:val="0"/>
        </w:rPr>
        <w:t xml:space="preserve">,  determine [OH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] using ICE box, calculate pOH,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Diprotic acid solution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assume all [H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] from first ionization, determine [H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] using ICE box,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Mixture of acid &amp; base 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→ calculate moles of 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 &amp; 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, determine moles of excess 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 or 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, determine total volume, calculate [H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+</w:t>
      </w:r>
      <w:r w:rsidDel="00000000" w:rsidR="00000000" w:rsidRPr="00000000">
        <w:rPr>
          <w:color w:val="222222"/>
          <w:highlight w:val="white"/>
          <w:rtl w:val="0"/>
        </w:rPr>
        <w:t xml:space="preserve">] or [OH</w:t>
      </w:r>
      <w:r w:rsidDel="00000000" w:rsidR="00000000" w:rsidRPr="00000000">
        <w:rPr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color w:val="222222"/>
          <w:highlight w:val="white"/>
          <w:rtl w:val="0"/>
        </w:rPr>
        <w:t xml:space="preserve">], calculate pH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pH of a buffer with equal concentrations of donor [HA] and acceptor [A</w:t>
      </w:r>
      <w:r w:rsidDel="00000000" w:rsidR="00000000" w:rsidRPr="00000000">
        <w:rPr>
          <w:b w:val="1"/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]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pH=pKa or pOH=pKb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pH of a buffer with unequal concentrations of donor [HA] &amp; acceptor [A</w:t>
      </w:r>
      <w:r w:rsidDel="00000000" w:rsidR="00000000" w:rsidRPr="00000000">
        <w:rPr>
          <w:b w:val="1"/>
          <w:color w:val="222222"/>
          <w:highlight w:val="white"/>
          <w:vertAlign w:val="superscript"/>
          <w:rtl w:val="0"/>
        </w:rPr>
        <w:t xml:space="preserve">-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]</w:t>
      </w:r>
      <w:r w:rsidDel="00000000" w:rsidR="00000000" w:rsidRPr="00000000">
        <w:rPr>
          <w:rFonts w:ascii="Nova Mono" w:cs="Nova Mono" w:eastAsia="Nova Mono" w:hAnsi="Nova Mono"/>
          <w:color w:val="222222"/>
          <w:highlight w:val="white"/>
          <w:rtl w:val="0"/>
        </w:rPr>
        <w:t xml:space="preserve"> → hasselbach equation</w:t>
      </w:r>
    </w:p>
    <w:p w:rsidR="00000000" w:rsidDel="00000000" w:rsidP="00000000" w:rsidRDefault="00000000" w:rsidRPr="00000000">
      <w:pPr>
        <w:spacing w:line="240" w:lineRule="auto"/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Buffers: a solution that resists changes in pH when acid or alkali is added to it. Buffers typically involve a weak acid or alkali together with one of its salts.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conjugates, preserves pH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right="-18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Ksp: A substance's solubility product, Ksp, is the product of its dissolved ion concentrations raised to the power of their stoichiometric coefficients.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Practice Questions Unit 8B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right="-1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distinction between strong acids and weak acids is most closely related to: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(a)the number of moles present per liter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(b)the pH of the solutions 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(c)the pH will be less than 7, but the solution will be neutral 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(d)the pH will be less than 7, the pOH will be less than 7, and the solution will be acidic  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2)   What is the pH of a solution made by adding 400mL of distilled water to 100mL of .050M HNO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(a)2.0   (b)2.30   (c)2.70   (d)3.0   (e)1.7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3)   “1 freed us from water,2 freed us from hydrogen”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The acid-base theories which correspond to 1 and 2 are: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(a)Bronsted, Lewis  (b)Arrhenius, Bronsted  (c)Bronsted, Lowry  (d)Lewis,Bronsted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4)   The acid-base theory which is used to describe the equation below is: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AlCl3 + Cl- ---&gt; AlCl4-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(a)Behavioral theory  (b)Arrhenius  (c)Bronsted-Lowry  (d)Lewis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5) a. What is the pH of 100 mL of pure water at 25͒C?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b. What would the pH of this 100 mL water sample be if 0.10 mL of 12M HCl was added to it? (assume the volume doesn't change)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c. Calculate the pH of a buffer solution composed of 0.20M ammonia and 0.20M ammonium chloride.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d. Calculate the pH of 100 mL of this buffer solution if 0.10 mL of 12M hydrochloric acid is added to it. (assume the volume doesn't change)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6) 0.200 moles of HC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HCO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reacted with 0.125 moles of NaOH. Final volume is 250.0 mL. 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7) Jenna has .400 moles of shit  on her car.It rained for 2 hours leaving over 9 thousand ml of water.Solve for what ever you want.</w:t>
      </w:r>
    </w:p>
    <w:sectPr>
      <w:pgSz w:h="15840" w:w="12240"/>
      <w:pgMar w:bottom="1440" w:top="1440" w:left="1440" w:right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